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xmlns:r="http://schemas.openxmlformats.org/officeDocument/2006/relationships" mc:Ignorable="vyd" w:conformance="transitional">
  <w:background/>
  <w:body vyd:_id="vyd:00000000000001">
    <w:p vyd:_id="vyd:0000000000002s">
      <w:pPr>
        <w:pStyle w:val="Title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2t">СОГЛАСИЕ НА ОБРАБОТКУ ПЕРСОНАЛЬНЫХ ДАННЫХ</w:t>
      </w:r>
    </w:p>
    <w:p vyd:_id="vyd:0000000000002q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b w:val="1"/>
        </w:rPr>
        <w:t vyd:_id="vyd:0000000000002r">для формы обратной связи</w:t>
      </w:r>
    </w:p>
    <w:p vyd:_id="vyd:0000000000002m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vyd:_id="vyd:0000000000002p">для сайта https://urban-home.ru</w:t>
      </w:r>
      <w:r>
        <w:rPr>
          <w:rFonts w:ascii="Times New Roman" w:hAnsi="Times New Roman"/>
          <w:sz w:val="18"/>
        </w:rPr>
        <w:br vyd:_id="vyd:0000000000002o"/>
      </w:r>
      <w:r>
        <w:rPr>
          <w:rFonts w:ascii="Times New Roman" w:hAnsi="Times New Roman"/>
          <w:sz w:val="18"/>
        </w:rPr>
        <w:t vyd:_id="vyd:0000000000002n">Редакция от 03 сентября 2026 года</w:t>
      </w:r>
    </w:p>
    <w:tbl vyd:_id="vyd:0000000000001m">
      <w:tblPr>
        <w:tblStyle w:val="TableGrid"/>
        <w:tblW w:w="0" w:type="auto"/>
        <w:jc w:val="center"/>
        <w:tblLook w:firstRow="1" w:lastRow="0" w:firstColumn="1" w:lastColumn="0" w:noHBand="0" w:noVBand="1" w:val="07c5"/>
      </w:tblPr>
      <w:tblGrid>
        <w:gridCol w:w="4932"/>
        <w:gridCol w:w="4932"/>
      </w:tblGrid>
      <w:tr vyd:_id="vyd:0000000000002f">
        <w:tc vyd:_id="vyd:0000000000002j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2k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2l">Оператор</w:t>
            </w:r>
          </w:p>
        </w:tc>
        <w:tc vyd:_id="vyd:0000000000002g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2h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2i">Индивидуальный предприниматель Бузоева Диана Александровна</w:t>
            </w:r>
          </w:p>
        </w:tc>
      </w:tr>
      <w:tr vyd:_id="vyd:00000000000028">
        <w:tc vyd:_id="vyd:0000000000002c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2e">ИНН / ОГРНИП</w:t>
            </w:r>
          </w:p>
        </w:tc>
        <w:tc vyd:_id="vyd:00000000000029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2b">151301581147 / 325150000052911</w:t>
            </w:r>
          </w:p>
        </w:tc>
      </w:tr>
      <w:tr vyd:_id="vyd:00000000000021">
        <w:tc vyd:_id="vyd:00000000000025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27">Место регистрации</w:t>
            </w:r>
          </w:p>
        </w:tc>
        <w:tc vyd:_id="vyd:00000000000022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24">Российская Федерация, Республика Северная Осетия — Алания, г. Владикавказ</w:t>
            </w:r>
          </w:p>
        </w:tc>
      </w:tr>
      <w:tr vyd:_id="vyd:0000000000001u">
        <w:tc vyd:_id="vyd:0000000000001y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1z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20">Сайт</w:t>
            </w:r>
          </w:p>
        </w:tc>
        <w:tc vyd:_id="vyd:0000000000001v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1w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1x">https://urban-home.ru</w:t>
            </w:r>
          </w:p>
        </w:tc>
      </w:tr>
      <w:tr vyd:_id="vyd:0000000000001n">
        <w:tc vyd:_id="vyd:0000000000001r">
          <w:tcPr>
            <w:shd w:val="clear" w:fill="FFFFFF"/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1s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1t">Контакт по вопросам ПДн</w:t>
            </w:r>
          </w:p>
        </w:tc>
        <w:tc vyd:_id="vyd:0000000000001o">
          <w:tcPr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 vyd:_id="vyd:0000000000001p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vyd:_id="vyd:0000000000001q">urbanb2b@yandex.com</w:t>
            </w:r>
          </w:p>
        </w:tc>
      </w:tr>
    </w:tbl>
    <w:p vyd:_id="vyd:0000000000001l">
      <w:pPr>
        <w:rPr>
          <w:rFonts w:ascii="Times New Roman" w:hAnsi="Times New Roman"/>
          <w:sz w:val="21"/>
        </w:rPr>
      </w:pPr>
    </w:p>
    <w:p vyd:_id="vyd:0000000000001j">
      <w:pPr>
        <w:pStyle w:val="Heading1"/>
        <w:rPr>
          <w:rFonts w:ascii="Times New Roman" w:hAnsi="Times New Roman"/>
          <w:sz w:val="20"/>
          <w:color w:val="000000"/>
          <w:b w:val="0"/>
        </w:rPr>
      </w:pPr>
      <w:r>
        <w:rPr>
          <w:rFonts w:ascii="Times New Roman" w:hAnsi="Times New Roman"/>
          <w:sz w:val="20"/>
          <w:color w:val="000000"/>
          <w:b w:val="0"/>
        </w:rPr>
        <w:t vyd:_id="vyd:mtjz0k1imu7xpv" xml:space="preserve">Настоящим я подтверждаю, что ознакомился(-ась) с Политикой обработки персональных данных и использования файлов cookie, размещённой по адресу: </w:t>
      </w:r>
      <w:r>
        <w:rPr>
          <w:rFonts w:ascii="Times New Roman" w:hAnsi="Times New Roman"/>
          <w:sz w:val="20"/>
          <w:color w:val="000000"/>
          <w:b w:val="0"/>
        </w:rPr>
        <w:t vyd:_id="vyd:mtjz0k1hbwsvvw">https://urban-home.ru/privacy</w:t>
      </w:r>
      <w:r>
        <w:rPr>
          <w:rFonts w:ascii="Times New Roman" w:hAnsi="Times New Roman"/>
          <w:sz w:val="20"/>
          <w:color w:val="000000"/>
          <w:b w:val="0"/>
        </w:rPr>
        <w:t vyd:_id="vyd:mtjz0k1fco42ah">. Устанавливая отдельный, заранее не отмеченный чекбокс рядом со ссылкой на настоящее Согласие и нажимая кнопку отправки формы, я свободно, своей волей и в своём интересе даю Индивидуальному предпринимателю Бузоевой Диане Александровне, ИНН 151301581147, ОГРНИП 325150000052911, место регистрации: Российская Федерация, Республика Северная Осетия — Алания, г. Владикавказ (далее — «Оператор»), конкретное, предметное, информированное, сознательное и однозначное согласие на обработку перечисленных в настоящем Согласии персональных данных исключительно в целях приёма, регистрации и рассмотрения моего обращения, предоставления консультации и осуществления обратной связи со мной по указанным контактным данным. Настоящее Согласие предоставляется отдельно от Политики, Публичной оферты, Правил использования Сайта и иных документов.</w:t>
      </w:r>
    </w:p>
    <w:p vyd:_id="vyd:mtjz149hiksdgq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1i">1. Персональные данные</w:t>
      </w:r>
    </w:p>
    <w:p vyd:_id="vyd:0000000000001f">
      <w:pPr>
        <w:pStyle w:val="ListBullet"/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g">имя;</w:t>
      </w:r>
    </w:p>
    <w:p vyd:_id="vyd:0000000000001d">
      <w:pPr>
        <w:pStyle w:val="ListBullet"/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e">номер телефона;</w:t>
      </w:r>
    </w:p>
    <w:p vyd:_id="vyd:0000000000001b">
      <w:pPr>
        <w:pStyle w:val="ListBullet"/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c">адрес электронной почты;</w:t>
      </w:r>
    </w:p>
    <w:p vyd:_id="vyd:00000000000019">
      <w:pPr>
        <w:pStyle w:val="ListBullet"/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a">текст сообщения.</w:t>
      </w:r>
    </w:p>
    <w:tbl vyd:_id="vyd:00000000000013">
      <w:tblPr>
        <w:tblStyle w:val="TableGrid"/>
        <w:tblW w:w="0" w:type="auto"/>
        <w:tblLook w:firstRow="1" w:lastRow="0" w:firstColumn="1" w:lastColumn="0" w:noHBand="0" w:noVBand="1" w:val="07c5"/>
      </w:tblPr>
      <w:tblGrid>
        <w:gridCol w:w="9865"/>
      </w:tblGrid>
      <w:tr vyd:_id="vyd:00000000000014">
        <w:tc vyd:_id="vyd:00000000000015">
          <w:tcPr>
            <w:shd w:val="clear" w:fill="FFFFFF"/>
            <w:tcMar>
              <w:top w:w="140" w:type="dxa"/>
              <w:start w:w="140" w:type="dxa"/>
              <w:bottom w:w="140" w:type="dxa"/>
              <w:end w:w="140" w:type="dxa"/>
            </w:tcMar>
          </w:tcPr>
          <w:p vyd:_id="vyd:000000000000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vyd:_id="vyd:00000000000018" xml:space="preserve">Важно: </w:t>
            </w:r>
            <w:r>
              <w:rPr>
                <w:rFonts w:ascii="Times New Roman" w:hAnsi="Times New Roman"/>
              </w:rPr>
              <w:t vyd:_id="vyd:00000000000017">Не включайте в сообщение сведения о здоровье, политических или религиозных взглядах, интимной жизни, судимости, биометрические, паспортные и платежные данные, если Оператор специально не запросил их на законном основании.</w:t>
            </w:r>
          </w:p>
        </w:tc>
      </w:tr>
    </w:tbl>
    <w:p vyd:_id="vyd:00000000000011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12">2. Цель</w:t>
      </w:r>
    </w:p>
    <w:p vyd:_id="vyd:0000000000000z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10">Прием, регистрация и рассмотрение обращения, предоставление консультации и обратная связь с пользователем по указанным им контактам.</w:t>
      </w:r>
    </w:p>
    <w:p vyd:_id="vyd:0000000000000x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0y">3. Действия и способ обработки</w:t>
      </w:r>
    </w:p>
    <w:p vyd:_id="vyd:0000000000000v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w">Сбор, запись, систематизация, накопление, хранение, уточнение, извлечение, использование, предоставление доступа лицам, действующим по поручению Оператора, блокирование, удаление и уничтожение с использованием средств автоматизации или без них.</w:t>
      </w:r>
    </w:p>
    <w:p vyd:_id="vyd:0000000000000t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u">Распространение данных неопределенному кругу лиц и их передача третьим лицам для целей, не указанных в настоящем Согласии, не допускаются. Согласие не включает рекламные рассылки, рекламные cookie и ретаргетинг.</w:t>
      </w:r>
    </w:p>
    <w:p vyd:_id="vyd:0000000000000r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0s">4. Обработчики</w:t>
      </w:r>
    </w:p>
    <w:p vyd:_id="vyd:0000000000000p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q">Обработка может поручаться в необходимом объеме поставщикам хостинга, CMS, электронной почты, CRM, технической поддержки и информационной безопасности на основании договоров с предусмотренными законом условиями. Категории получателей, цели доступа и иные условия раскрыты в Политике обработки персональных данных и использования cookie по адресу https://urban-home.ru/privacy.</w:t>
      </w:r>
    </w:p>
    <w:p vyd:_id="vyd:0000000000000n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0o">5. Срок</w:t>
      </w:r>
    </w:p>
    <w:p vyd:_id="vyd:0000000000000l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m">Согласие действует до завершения рассмотрения обращения и в течение одного года после последнего взаимодействия. Если обращение привело к заказу, соответствующие данные далее обрабатываются на договорном или ином законном основании в сроки, указанные в Политике.</w:t>
      </w:r>
    </w:p>
    <w:p vyd:_id="vyd:0000000000000j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0k">6. Отзыв</w:t>
      </w:r>
    </w:p>
    <w:p vyd:_id="vyd:0000000000000h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i">Согласие отзывается письмом на urbanb2b@yandex.com с темой «Отзыв согласия — обратная связь». Достаточно указать контакт, использованный в форме, и приблизительную дату обращения. Дополнительные сведения запрашиваются только при обоснованной необходимости проверить заявителя.</w:t>
      </w:r>
    </w:p>
    <w:p vyd:_id="vyd:0000000000000f">
      <w:pPr>
        <w:pStyle w:val="Heading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vyd:_id="vyd:0000000000000g">7. Подтверждение</w:t>
      </w:r>
    </w:p>
    <w:p vyd:_id="vyd:0000000000000d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e">Оператор фиксирует дату и время, идентификатор формы, версию текста и технические сведения о действии пользователя, необходимые для подтверждения согласия и безопасности сайта.</w:t>
      </w:r>
    </w:p>
    <w:p vyd:_id="vyd:0000000000000b">
      <w:pPr>
        <w:rPr>
          <w:rFonts w:ascii="Times New Roman" w:hAnsi="Times New Roman"/>
        </w:rPr>
      </w:pPr>
      <w:r>
        <w:rPr>
          <w:rFonts w:ascii="Times New Roman" w:hAnsi="Times New Roman"/>
        </w:rPr>
        <w:t vyd:_id="vyd:0000000000000c">Отзыв не влияет на законность обработки до его получения. При наличии самостоятельного основания Оператор вправе продолжить обработку только в необходимом объеме.</w:t>
      </w:r>
    </w:p>
    <w:p vyd:_id="vyd:00000000000009">
      <w:pPr>
        <w:rPr>
          <w:rFonts w:ascii="Times New Roman" w:hAnsi="Times New Roman"/>
        </w:rPr>
      </w:pPr>
    </w:p>
    <w:sectPr vyd:_id="vyd:00000000000002" w:rsidR="00FC693F" w:rsidRPr="0006063C" w:rsidSect="00034616">
      <w:headerReference r:id="rId9" w:type="default"/>
      <w:footerReference r:id="rId10" w:type="default"/>
      <w:type w:val="nextPage"/>
      <w:pgSz w:w="11906" w:h="16838" w:orient="portrait"/>
      <w:pgMar w:top="964" w:right="907" w:bottom="907" w:left="1134" w:header="454" w:footer="454" w:gutter="0"/>
      <w:cols w:equalWidth="1" w:space="720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vyd="http://volga.yandex.com/schemas/document/model" vyd:_id="vyd:0000000000002y">
  <w:p vyd:_id="vyd:00000000000033">
    <w:pPr>
      <w:pStyle w:val="Footer"/>
    </w:pPr>
    <w:r>
      <w:rPr>
        <w:rFonts w:ascii="Arial" w:hAnsi="Arial"/>
        <w:sz w:val="16"/>
        <w:color w:val="595959"/>
      </w:rPr>
      <w:t vyd:_id="vyd:00000000000034">https://urban-home.ru  |  Редакция от 03 сентября 2026 года</w:t>
    </w:r>
  </w:p>
  <w:p vyd:_id="vyd:0000000000002z">
    <w:pPr>
      <w:jc w:val="end"/>
    </w:pPr>
    <w:r>
      <w:rPr>
        <w:rFonts w:ascii="Arial" w:hAnsi="Arial"/>
        <w:sz w:val="16"/>
      </w:rPr>
      <w:t vyd:_id="vyd:00000000000032" xml:space="preserve">Страница </w:t>
    </w:r>
    <w:r>
      <w:fldChar w:fldCharType="begin" vyd:_id="vyd:00000000000030"/>
    </w:r>
    <w:r>
      <w:instrText>PAGE</w:instrText>
    </w:r>
    <w:r>
      <w:fldChar w:fldCharType="separate"/>
    </w:r>
    <w:r>
      <w:t vyd:_id="vyd:00000000000031"/>
    </w:r>
    <w:r>
      <w:fldChar w:fldCharType="end" vyd:_id="vyd:00000000000030-end"/>
    </w:r>
  </w:p>
</w:ftr>
</file>

<file path=word/header1.xml><?xml version="1.0" encoding="utf-8"?>
<w:hdr xmlns:vyd="http://volga.yandex.com/schemas/document/model" xmlns:w="http://schemas.openxmlformats.org/wordprocessingml/2006/main" vyd:_id="vyd:0000000000002v">
  <w:p vyd:_id="vyd:0000000000002w">
    <w:pPr>
      <w:pStyle w:val="Header"/>
    </w:pPr>
    <w:r>
      <w:rPr>
        <w:rFonts w:ascii="Arial" w:hAnsi="Arial"/>
        <w:sz w:val="16"/>
        <w:color w:val="595959"/>
      </w:rPr>
      <w:t vyd:_id="vyd:0000000000002x">URBAN HOME  •  Согласие • обратная связь</w:t>
    </w:r>
  </w:p>
</w:hdr>
</file>

<file path=word/numbering.xml><?xml version="1.0" encoding="utf-8"?>
<w:numbering xmlns:w="http://schemas.openxmlformats.org/wordprocessingml/2006/main" xmlns:mc="http://schemas.openxmlformats.org/markup-compatibility/2006" xmlns:wp14="http://schemas.microsoft.com/office/word/2010/wordprocessingDrawing" xmlns:w14="http://schemas.microsoft.com/office/word/2010/wordml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start"/>
      <w:pPr>
        <w:tabs>
          <w:tab w:val="num" w:pos="1800"/>
        </w:tabs>
        <w:ind w:star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start"/>
      <w:pPr>
        <w:tabs>
          <w:tab w:val="num" w:pos="1440"/>
        </w:tabs>
        <w:ind w:star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start"/>
      <w:pPr>
        <w:tabs>
          <w:tab w:val="num" w:pos="1080"/>
        </w:tabs>
        <w:ind w:star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start"/>
      <w:pPr>
        <w:tabs>
          <w:tab w:val="num" w:pos="720"/>
        </w:tabs>
        <w:ind w:star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start"/>
      <w:pPr>
        <w:tabs>
          <w:tab w:val="num" w:pos="1080"/>
        </w:tabs>
        <w:ind w:star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start"/>
      <w:pPr>
        <w:tabs>
          <w:tab w:val="num" w:pos="360"/>
        </w:tabs>
        <w:ind w:star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v="urn:schemas-microsoft-com:vml" xmlns:mc="http://schemas.openxmlformats.org/markup-compatibility/2006" xmlns:o="urn:schemas-microsoft-com:office:office" xmlns:m="http://schemas.openxmlformats.org/officeDocument/2006/math" xmlns:w14="http://schemas.microsoft.com/office/word/2010/wordml" mc:Ignorable="w14">
  <w14:docId w14:val="24062061"/>
  <w14:defaultImageDpi w14:val="300"/>
  <w:zoom w:val="bestFit"/>
  <w:displayBackgroundShape w:val="1"/>
  <w:defaultTabStop w:val="720"/>
  <w:evenAndOddHeaders w:val="0"/>
  <w:characterSpacingControl w:val="doNotCompress"/>
  <w:savePreviewPicture w:val="1"/>
  <w:compat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 w:val="1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lang w:val="en-US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76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smallCaps w:val="1"/>
      <w:spacing w:val="5"/>
      <w:bCs w:val="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sz w:val="18"/>
      <w:color w:val="4F81BD" w:themeColor="accent1"/>
      <w:b w:val="1"/>
      <w:bCs w:val="1"/>
      <w:szCs w:val="18"/>
    </w:r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CCCCC" w:themeFill="text1" w:themeFillTint="33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999999" w:themeFill="text1" w:themeFillTint="66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8CCE4" w:themeFill="accent1" w:themeFillTint="66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DBDB" w:themeFill="accent2" w:themeFillTint="33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E5B8B7" w:themeFill="accent2" w:themeFillTint="66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AF1DD" w:themeFill="accent3" w:themeFillTint="33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D6E3BC" w:themeFill="accent3" w:themeFillTint="66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5DFEC" w:themeFill="accent4" w:themeFillTint="33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CCC0D9" w:themeFill="accent4" w:themeFillTint="66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AEEF3" w:themeFill="accent5" w:themeFillTint="33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6DDE8" w:themeFill="accent5" w:themeFillTint="66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9D9" w:themeFill="accent6" w:themeFillTint="33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FBD4B4" w:themeFill="accent6" w:themeFillTint="66"/>
      </w:tc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CCCCCC" w:themeFill="tex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DBE5F1" w:themeFill="accen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8EDED" w:themeFill="accent2" w:themeFillTint="19"/>
    </w:tcPr>
    <w:tblStylePr w:type="band1Horz">
      <w:tblPr/>
      <w:tcPr>
        <w:shd w:val="clear" w:color="auto" w:fill="F2DBDB" w:themeFill="accent2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5F8EE" w:themeFill="accent3" w:themeFillTint="19"/>
    </w:tcPr>
    <w:tblStylePr w:type="band1Horz">
      <w:tblPr/>
      <w:tcPr>
        <w:shd w:val="clear" w:color="auto" w:fill="EAF1DD" w:themeFill="accent3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Col">
      <w:rPr>
        <w:b w:val="1"/>
        <w:bCs w:val="1"/>
      </w:rPr>
    </w:tblStylePr>
    <w:tblStylePr w:type="lastRow">
      <w:rPr>
        <w:color w:val="664E82" w:themeColor="accent4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EFF6" w:themeFill="accent4" w:themeFillTint="19"/>
    </w:tcPr>
    <w:tblStylePr w:type="band1Horz">
      <w:tblPr/>
      <w:tcPr>
        <w:shd w:val="clear" w:color="auto" w:fill="E5DFEC" w:themeFill="accent4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Col">
      <w:rPr>
        <w:b w:val="1"/>
        <w:bCs w:val="1"/>
      </w:rPr>
    </w:tblStylePr>
    <w:tblStylePr w:type="lastRow">
      <w:rPr>
        <w:color w:val="7E9C40" w:themeColor="accent3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DAEEF3" w:themeFill="accent5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Col">
      <w:rPr>
        <w:b w:val="1"/>
        <w:bCs w:val="1"/>
      </w:rPr>
    </w:tblStylePr>
    <w:tblStylePr w:type="lastRow">
      <w:rPr>
        <w:color w:val="F2730A" w:themeColor="accent6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EF4EC" w:themeFill="accent6" w:themeFillTint="19"/>
    </w:tcPr>
    <w:tblStylePr w:type="band1Horz">
      <w:tblPr/>
      <w:tcPr>
        <w:shd w:val="clear" w:color="auto" w:fill="FDE9D9" w:themeFill="accent6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Col">
      <w:rPr>
        <w:b w:val="1"/>
        <w:bCs w:val="1"/>
      </w:rPr>
    </w:tblStylePr>
    <w:tblStylePr w:type="lastRow">
      <w:rPr>
        <w:color w:val="348DA5" w:themeColor="accent5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000000" w:themeColor="text1" w:themeShade="99" w:sz="4" w:space="0"/>
          <w:insideV w:val="nil" w:sz="0"/>
        </w:tcBorders>
        <w:shd w:val="clear" w:color="auto" w:fill="000000" w:themeFill="tex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C4C74" w:themeColor="accent1" w:themeShade="99" w:sz="4" w:space="0"/>
          <w:insideV w:val="nil" w:sz="0"/>
        </w:tcBorders>
        <w:shd w:val="clear" w:color="auto" w:fill="2C4C74" w:themeFill="accen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C4C74" w:themeFill="accent1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8EDED" w:themeFill="accent2" w:themeFillTint="19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772C2A" w:themeColor="accent2" w:themeShade="99" w:sz="4" w:space="0"/>
          <w:insideV w:val="nil" w:sz="0"/>
        </w:tcBorders>
        <w:shd w:val="clear" w:color="auto" w:fill="772C2A" w:themeFill="accent2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72C2A" w:themeFill="accent2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5F8EE" w:themeFill="accent3" w:themeFillTint="19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5E7530" w:themeColor="accent3" w:themeShade="99" w:sz="4" w:space="0"/>
          <w:insideV w:val="nil" w:sz="0"/>
        </w:tcBorders>
        <w:shd w:val="clear" w:color="auto" w:fill="5E7530" w:themeFill="accent3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E7530" w:themeFill="accent3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EFF6" w:themeFill="accent4" w:themeFillTint="19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4C3B62" w:themeColor="accent4" w:themeShade="99" w:sz="4" w:space="0"/>
          <w:insideV w:val="nil" w:sz="0"/>
        </w:tcBorders>
        <w:shd w:val="clear" w:color="auto" w:fill="4C3B62" w:themeFill="accent4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C3B62" w:themeFill="accent4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76A7C" w:themeColor="accent5" w:themeShade="99" w:sz="4" w:space="0"/>
          <w:insideV w:val="nil" w:sz="0"/>
        </w:tcBorders>
        <w:shd w:val="clear" w:color="auto" w:fill="276A7C" w:themeFill="accent5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76A7C" w:themeFill="accent5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EF4EC" w:themeFill="accent6" w:themeFillTint="19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B65608" w:themeColor="accent6" w:themeShade="99" w:sz="4" w:space="0"/>
          <w:insideV w:val="nil" w:sz="0"/>
        </w:tcBorders>
        <w:shd w:val="clear" w:color="auto" w:fill="B65608" w:themeFill="accent6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B65608" w:themeFill="accent6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000000" w:themeFill="tex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7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4F81BD" w:themeFill="accen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43F60" w:themeFill="accent1" w:themeFillShade="7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504D" w:themeFill="accent2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622423" w:themeFill="accent2" w:themeFillShade="7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9BBB59" w:themeFill="accent3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E6128" w:themeFill="accent3" w:themeFillShade="7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8064A2" w:themeFill="accent4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F3151" w:themeFill="accent4" w:themeFillShade="7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4BACC6" w:themeFill="accent5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05867" w:themeFill="accent5" w:themeFillShade="7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79646" w:themeFill="accent6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74706" w:themeFill="accent6" w:themeFillShade="7F"/>
      </w:tcPr>
    </w:tblStyle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before="180" w:after="100"/>
      <w:outlineLvl w:val="0"/>
    </w:pPr>
    <w:rPr>
      <w:rFonts w:ascii="Arial" w:hAnsi="Arial" w:eastAsia="Arial" w:asciiTheme="majorHAnsi" w:hAnsiTheme="majorHAnsi" w:eastAsiaTheme="majorEastAsia" w:cstheme="majorBidi"/>
      <w:sz w:val="26"/>
      <w:color w:val="17365D"/>
      <w:b w:val="1"/>
      <w:bCs w:val="1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before="180" w:after="100"/>
      <w:outlineLvl w:val="1"/>
    </w:pPr>
    <w:rPr>
      <w:rFonts w:ascii="Arial" w:hAnsi="Arial" w:eastAsia="Arial" w:asciiTheme="majorHAnsi" w:hAnsiTheme="majorHAnsi" w:eastAsiaTheme="majorEastAsia" w:cstheme="majorBidi"/>
      <w:sz w:val="22"/>
      <w:color w:val="17365D"/>
      <w:b w:val="1"/>
      <w:bCs w:val="1"/>
      <w:szCs w:val="26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before="200" w:after="0"/>
      <w:outlineLvl w:val="2"/>
    </w:pPr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3"/>
    </w:pPr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5"/>
    </w:pPr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6"/>
    </w:pPr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7"/>
    </w:pPr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8"/>
    </w:pPr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color w:val="4F81BD" w:themeColor="accent1"/>
      <w:b w:val="1"/>
      <w:i w:val="1"/>
      <w:bCs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val="single" w:color="4F81BD" w:themeColor="accent1" w:sz="4" w:space="4"/>
      </w:pBdr>
      <w:spacing w:before="200" w:after="280"/>
      <w:ind w:start="936" w:end="936"/>
    </w:pPr>
    <w:rPr>
      <w:color w:val="4F81BD" w:themeColor="accent1"/>
      <w:b w:val="1"/>
      <w:i w:val="1"/>
      <w:bCs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color w:val="4F81BD" w:themeColor="accent1"/>
      <w:b w:val="1"/>
      <w:i w:val="1"/>
      <w:bCs w:val="1"/>
      <w:iCs w:val="1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color w:val="C0504D" w:themeColor="accent2"/>
      <w:u w:val="single"/>
      <w:b w:val="1"/>
      <w:smallCaps w:val="1"/>
      <w:spacing w:val="5"/>
      <w:bCs w:val="1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1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1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1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1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1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1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1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</w:style>
  <w:style w:type="paragraph" w:styleId="List">
    <w:name w:val="List"/>
    <w:basedOn w:val="Normal"/>
    <w:uiPriority w:val="99"/>
    <w:unhideWhenUsed w:val="1"/>
    <w:rsid w:val="00AA1D8D"/>
    <w:pPr>
      <w:ind w:star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star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star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star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star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start="1080"/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Paragraph">
    <w:name w:val="List Paragraph"/>
    <w:basedOn w:val="Normal"/>
    <w:uiPriority w:val="34"/>
    <w:qFormat w:val="1"/>
    <w:rsid w:val="00FC693F"/>
    <w:pPr>
      <w:ind w:start="72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404040" w:themeColor="text1" w:themeTint="BF" w:sz="18" w:space="0"/>
        </w:tcBorders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BA0CD" w:themeColor="accent1" w:themeTint="BF" w:sz="18" w:space="0"/>
        </w:tcBorders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CF7B79" w:themeColor="accent2" w:themeTint="BF" w:sz="18" w:space="0"/>
        </w:tcBorders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B3CC82" w:themeColor="accent3" w:themeTint="BF" w:sz="18" w:space="0"/>
        </w:tcBorders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9F8AB9" w:themeColor="accent4" w:themeTint="BF" w:sz="18" w:space="0"/>
        </w:tcBorders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8C0D4" w:themeColor="accent5" w:themeTint="BF" w:sz="18" w:space="0"/>
        </w:tcBorders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F9B074" w:themeColor="accent6" w:themeTint="BF" w:sz="18" w:space="0"/>
        </w:tcBorders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6E6E6" w:themeFill="tex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CCCCC" w:themeFill="tex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2F8" w:themeFill="accen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BE5F1" w:themeFill="accen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8EDED" w:themeFill="accent2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2DBDB" w:themeFill="accent2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5F8EE" w:themeFill="accent3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AF1DD" w:themeFill="accent3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2EFF6" w:themeFill="accent4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5DFEC" w:themeFill="accent4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6F9" w:themeFill="accent5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AEEF3" w:themeFill="accent5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EF4EC" w:themeFill="accent6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9D9" w:themeFill="accent6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808080" w:themeFill="tex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7BFDE" w:themeFill="accen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DFA7A6" w:themeFill="accent2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CDDDAC" w:themeFill="accent3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BFB1D0" w:themeFill="accent4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5D5E2" w:themeFill="accent5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FBCAA2" w:themeFill="accent6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000000" w:themeColor="tex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F81BD" w:themeColor="accen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C0504D" w:themeColor="accent2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9BBB59" w:themeColor="accent3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8064A2" w:themeColor="accent4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BACC6" w:themeColor="accent5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F79646" w:themeColor="accent6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000000" w:themeColor="tex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000000" w:themeColor="tex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000000" w:themeColor="tex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F81BD" w:themeColor="accen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F81BD" w:themeColor="accen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F81BD" w:themeColor="accen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C0504D" w:themeColor="accent2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C0504D" w:themeColor="accent2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9BBB59" w:themeColor="accent3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9BBB59" w:themeColor="accent3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8064A2" w:themeColor="accent4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8064A2" w:themeColor="accent4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BACC6" w:themeColor="accent5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BACC6" w:themeColor="accent5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79646" w:themeColor="accent6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F79646" w:themeColor="accent6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404040" w:themeColor="text1" w:themeTint="BF" w:sz="8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04040" w:themeColor="text1" w:themeTint="BF" w:sz="6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BA0CD" w:themeColor="accent1" w:themeTint="BF" w:sz="8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BA0CD" w:themeColor="accent1" w:themeTint="BF" w:sz="6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CF7B79" w:themeColor="accent2" w:themeTint="BF" w:sz="8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F7B79" w:themeColor="accent2" w:themeTint="BF" w:sz="6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B3CC82" w:themeColor="accent3" w:themeTint="BF" w:sz="8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B3CC82" w:themeColor="accent3" w:themeTint="BF" w:sz="6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9F8AB9" w:themeColor="accent4" w:themeTint="BF" w:sz="8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F8AB9" w:themeColor="accent4" w:themeTint="BF" w:sz="6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8C0D4" w:themeColor="accent5" w:themeTint="BF" w:sz="8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8C0D4" w:themeColor="accent5" w:themeTint="BF" w:sz="6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F9B074" w:themeColor="accent6" w:themeTint="BF" w:sz="8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9B074" w:themeColor="accent6" w:themeTint="BF" w:sz="6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paragraph" w:styleId="Normal" w:default="1">
    <w:name w:val="Normal"/>
    <w:qFormat w:val="1"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color w:val="000000" w:themeColor="text1"/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color w:val="000000" w:themeColor="text1"/>
      <w:i w:val="1"/>
      <w:iCs w:val="1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color w:val="808080" w:themeColor="text1" w:themeTint="7F"/>
      <w:i w:val="1"/>
      <w:iCs w:val="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color w:val="C0504D" w:themeColor="accent2"/>
      <w:u w:val="single"/>
      <w:smallCaps w:val="1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TableNormal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keepNext w:val="1"/>
      <w:pBdr>
        <w:bottom w:val="single" w:color="4F81BD" w:themeColor="accent1" w:sz="8" w:space="4"/>
      </w:pBdr>
      <w:spacing w:after="100" w:line="240" w:lineRule="auto" w:before="0"/>
      <w:contextualSpacing w:val="1"/>
    </w:pPr>
    <w:rPr>
      <w:rFonts w:ascii="Arial" w:hAnsi="Arial" w:eastAsia="Arial" w:asciiTheme="majorHAnsi" w:hAnsiTheme="majorHAnsi" w:eastAsiaTheme="majorEastAsia" w:cstheme="majorBidi"/>
      <w:sz w:val="34"/>
      <w:color w:val="17365D"/>
      <w:b w:val="1"/>
      <w:spacing w:val="5"/>
      <w:kern w:val="28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wp14="http://schemas.microsoft.com/office/word/2010/wordprocessingDrawing" xmlns:w14="http://schemas.microsoft.com/office/word/2010/wordml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w="http://schemas.openxmlformats.org/wordprocessingml/2006/main" xmlns:mc="http://schemas.openxmlformats.org/markup-compatibility/2006" xmlns:w14="http://schemas.microsoft.com/office/word/2010/wordml" mc:Ignorable="w14">
  <w:allowPNG/>
  <w:doNotSaveAsSingleFile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?><Relationships xmlns="http://schemas.openxmlformats.org/package/2006/relationships"/>
</file>

<file path=word/_rels/header1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.XSL" StyleName="APA"/>
</file>

<file path=customXml/itemProps1.xml><?xml version="1.0" encoding="utf-8"?>
<customXml:datastoreItem xmlns:customXml="http://schemas.openxmlformats.org/officeDocument/2006/customXml" customXml:itemID="{EF278816-EC6F-A645-907D-7F25AECB1D4A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Normal.dotm</ep:Template>
  <ep:TotalTime>0</ep:TotalTime>
  <ep:Pages>1</ep:Pages>
  <ep:Words>0</ep:Words>
  <ep:Characters>0</ep:Characters>
  <ep:Application>Microsoft Macintosh Word</ep:Application>
  <ep:DocSecurity>0</ep:DocSecurity>
  <ep:Lines>0</ep:Lines>
  <ep:Paragraphs>0</ep:Paragraphs>
  <ep:ScaleCrop>false</ep:ScaleCrop>
  <ep:HeadingPairs>
    <vt:vector size="2" baseType="variant">
      <vt:variant>
        <vt:lpstr>Title</vt:lpstr>
      </vt:variant>
      <vt:variant>
        <vt:i4>1</vt:i4>
      </vt:variant>
    </vt:vector>
  </ep:HeadingPairs>
  <ep:TitlesOfParts>
    <vt:vector size="1" baseType="lpstr">
      <vt:lpstr/>
    </vt:vector>
  </ep:TitlesOfParts>
  <ep:Manager/>
  <ep:Company/>
  <ep:LinksUpToDate>false</ep:LinksUpToDate>
  <ep:CharactersWithSpaces>0</ep:CharactersWithSpaces>
  <ep:SharedDoc>false</ep:SharedDoc>
  <ep:HyperlinkBase/>
  <ep:HyperlinksChanged>false</ep:HyperlinksChanged>
  <ep:AppVersion>14.0000</ep:AppVersion>
</ep:Properties>
</file>

<file path=docProps/core.xml><?xml version="1.0" encoding="utf-8"?>
<cp:coreProperties xmlns:dc="http://purl.org/dc/elements/1.1/" xmlns:xsi="http://www.w3.org/2001/XMLSchema-instance" xmlns:cp="http://schemas.openxmlformats.org/package/2006/metadata/core-properties" xmlns:dcterms="http://purl.org/dc/terms/">
  <dc:title>Согласие на обработку персональных данных — форма обратной связи URBAN HOME</dc:title>
  <dc:subject>Отдельное согласие пользователя формы обратной связи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